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7EF0" w14:textId="4ED4C9E6" w:rsidR="0003021B" w:rsidRPr="00F6245F" w:rsidRDefault="00091752" w:rsidP="0031609F">
      <w:pPr>
        <w:rPr>
          <w:rFonts w:asciiTheme="majorHAnsi" w:hAnsiTheme="majorHAnsi" w:cstheme="majorHAnsi"/>
          <w:b/>
          <w:bCs/>
          <w:kern w:val="32"/>
          <w:sz w:val="60"/>
          <w:szCs w:val="60"/>
        </w:rPr>
      </w:pPr>
      <w:r>
        <w:rPr>
          <w:rFonts w:asciiTheme="majorHAnsi" w:hAnsiTheme="majorHAnsi" w:cstheme="majorHAnsi"/>
          <w:b/>
          <w:bCs/>
          <w:kern w:val="32"/>
          <w:sz w:val="60"/>
          <w:szCs w:val="60"/>
        </w:rPr>
        <w:t>E</w:t>
      </w:r>
      <w:r w:rsidR="001D506B" w:rsidRPr="001D506B">
        <w:rPr>
          <w:rFonts w:asciiTheme="majorHAnsi" w:hAnsiTheme="majorHAnsi" w:cstheme="majorHAnsi"/>
          <w:b/>
          <w:bCs/>
          <w:kern w:val="32"/>
          <w:sz w:val="60"/>
          <w:szCs w:val="60"/>
        </w:rPr>
        <w:t>nergy bill relief</w:t>
      </w:r>
      <w:r>
        <w:rPr>
          <w:rFonts w:asciiTheme="majorHAnsi" w:hAnsiTheme="majorHAnsi" w:cstheme="majorHAnsi"/>
          <w:b/>
          <w:bCs/>
          <w:kern w:val="32"/>
          <w:sz w:val="60"/>
          <w:szCs w:val="60"/>
        </w:rPr>
        <w:t xml:space="preserve"> in embedded networks</w:t>
      </w:r>
    </w:p>
    <w:p w14:paraId="41E67665" w14:textId="6044FDB3" w:rsidR="001D506B" w:rsidRPr="001D506B" w:rsidRDefault="001D506B" w:rsidP="001D506B">
      <w:pPr>
        <w:rPr>
          <w:rFonts w:asciiTheme="majorHAnsi" w:hAnsiTheme="majorHAnsi" w:cstheme="majorHAnsi"/>
          <w:kern w:val="32"/>
          <w:sz w:val="28"/>
          <w:szCs w:val="28"/>
        </w:rPr>
      </w:pPr>
      <w:r w:rsidRPr="001D506B">
        <w:rPr>
          <w:rFonts w:asciiTheme="majorHAnsi" w:hAnsiTheme="majorHAnsi" w:cstheme="majorHAnsi"/>
          <w:kern w:val="32"/>
          <w:sz w:val="28"/>
          <w:szCs w:val="28"/>
        </w:rPr>
        <w:t xml:space="preserve">Australian </w:t>
      </w:r>
      <w:r w:rsidR="00F43140">
        <w:rPr>
          <w:rFonts w:asciiTheme="majorHAnsi" w:hAnsiTheme="majorHAnsi" w:cstheme="majorHAnsi"/>
          <w:kern w:val="32"/>
          <w:sz w:val="28"/>
          <w:szCs w:val="28"/>
        </w:rPr>
        <w:t>households and eligible small businesses are receiving credits on their electricity bills over the 2024-2025 financial year</w:t>
      </w:r>
      <w:r w:rsidRPr="001D506B">
        <w:rPr>
          <w:rFonts w:asciiTheme="majorHAnsi" w:hAnsiTheme="majorHAnsi" w:cstheme="majorHAnsi"/>
          <w:kern w:val="32"/>
          <w:sz w:val="28"/>
          <w:szCs w:val="28"/>
        </w:rPr>
        <w:t>.</w:t>
      </w:r>
      <w:r w:rsidR="008D3304">
        <w:rPr>
          <w:rFonts w:asciiTheme="majorHAnsi" w:hAnsiTheme="majorHAnsi" w:cstheme="majorHAnsi"/>
          <w:kern w:val="32"/>
          <w:sz w:val="28"/>
          <w:szCs w:val="28"/>
        </w:rPr>
        <w:t xml:space="preserve"> If your household or small business is located in an embedded network, you may need to apply for the credit</w:t>
      </w:r>
      <w:r w:rsidR="00DB30EE">
        <w:rPr>
          <w:rFonts w:asciiTheme="majorHAnsi" w:hAnsiTheme="majorHAnsi" w:cstheme="majorHAnsi"/>
          <w:kern w:val="32"/>
          <w:sz w:val="28"/>
          <w:szCs w:val="28"/>
        </w:rPr>
        <w:t>.</w:t>
      </w:r>
    </w:p>
    <w:p w14:paraId="66C1537A" w14:textId="00A19012" w:rsidR="001D506B" w:rsidRPr="001D506B" w:rsidRDefault="00DB30EE" w:rsidP="00B84B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an embedded network?</w:t>
      </w:r>
      <w:r w:rsidR="001D506B" w:rsidRPr="001D506B">
        <w:rPr>
          <w:b/>
          <w:bCs/>
          <w:sz w:val="28"/>
          <w:szCs w:val="28"/>
        </w:rPr>
        <w:t xml:space="preserve"> </w:t>
      </w:r>
    </w:p>
    <w:p w14:paraId="208A6FA4" w14:textId="2FCDE04A" w:rsidR="001D506B" w:rsidRDefault="00B75585" w:rsidP="001D506B">
      <w:r>
        <w:t xml:space="preserve">An embedded network is a privately owned and managed electricity network that often supplies </w:t>
      </w:r>
      <w:r w:rsidR="00F22FE7">
        <w:t>all premises within a specific area or building.</w:t>
      </w:r>
    </w:p>
    <w:p w14:paraId="27547CD2" w14:textId="0D9261F6" w:rsidR="00F22FE7" w:rsidRDefault="00F22FE7" w:rsidP="001D506B">
      <w:r>
        <w:t>Embedded networks can be residential or commercial buildings, usually multi-tenanted ones like shopping centres, apartment buildings, retir</w:t>
      </w:r>
      <w:r w:rsidR="00150937">
        <w:t>ement</w:t>
      </w:r>
      <w:r>
        <w:t xml:space="preserve"> villages and caravan parks.</w:t>
      </w:r>
    </w:p>
    <w:p w14:paraId="5CB0C6E4" w14:textId="699C65B9" w:rsidR="009F082B" w:rsidRPr="001D506B" w:rsidRDefault="009F082B" w:rsidP="009F08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I know if I am in an embedded network?</w:t>
      </w:r>
      <w:r w:rsidRPr="001D506B">
        <w:rPr>
          <w:b/>
          <w:bCs/>
          <w:sz w:val="28"/>
          <w:szCs w:val="28"/>
        </w:rPr>
        <w:t xml:space="preserve"> </w:t>
      </w:r>
    </w:p>
    <w:p w14:paraId="7C7571A1" w14:textId="348EB783" w:rsidR="009F082B" w:rsidRDefault="009F082B" w:rsidP="009F082B">
      <w:r>
        <w:t>You are most likely in an embedded network if you pay your electricity bill through your strata or landlord.</w:t>
      </w:r>
    </w:p>
    <w:p w14:paraId="0A244F4B" w14:textId="6D8D5EC8" w:rsidR="00333E2F" w:rsidRPr="001D506B" w:rsidRDefault="00333E2F" w:rsidP="00333E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much credit or payment could I get?</w:t>
      </w:r>
      <w:r w:rsidRPr="001D506B">
        <w:rPr>
          <w:b/>
          <w:bCs/>
          <w:sz w:val="28"/>
          <w:szCs w:val="28"/>
        </w:rPr>
        <w:t xml:space="preserve"> </w:t>
      </w:r>
    </w:p>
    <w:p w14:paraId="36AE9D9D" w14:textId="7311C62C" w:rsidR="00333E2F" w:rsidRDefault="00333E2F" w:rsidP="00333E2F">
      <w:r>
        <w:t xml:space="preserve">If eligible, you can </w:t>
      </w:r>
      <w:r w:rsidR="00266A7A">
        <w:t xml:space="preserve">receive a one-off </w:t>
      </w:r>
      <w:r w:rsidR="006F1019">
        <w:t>credit or payment of up to $300 for households and up to $325 for small businesses.</w:t>
      </w:r>
    </w:p>
    <w:p w14:paraId="1904546D" w14:textId="20396E84" w:rsidR="006F1019" w:rsidRPr="001D506B" w:rsidRDefault="006F1019" w:rsidP="006F10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I go about getting energy bill relief?</w:t>
      </w:r>
      <w:r w:rsidRPr="001D506B">
        <w:rPr>
          <w:b/>
          <w:bCs/>
          <w:sz w:val="28"/>
          <w:szCs w:val="28"/>
        </w:rPr>
        <w:t xml:space="preserve"> </w:t>
      </w:r>
    </w:p>
    <w:p w14:paraId="380A5690" w14:textId="77777777" w:rsidR="00F47B1C" w:rsidRDefault="00632587" w:rsidP="006F1019">
      <w:r>
        <w:t>D</w:t>
      </w:r>
      <w:r w:rsidR="00F47B1C">
        <w:t>epending on your state or territory and your eligibility, you will either:</w:t>
      </w:r>
    </w:p>
    <w:p w14:paraId="28816229" w14:textId="77777777" w:rsidR="008A776A" w:rsidRDefault="00F47B1C" w:rsidP="008A776A">
      <w:pPr>
        <w:pStyle w:val="Bullet"/>
      </w:pPr>
      <w:r>
        <w:t>Have your landlord</w:t>
      </w:r>
      <w:r w:rsidR="00534707">
        <w:t xml:space="preserve"> or embedded network operator directly arrange to apply the credit to your electricity invoice.</w:t>
      </w:r>
    </w:p>
    <w:p w14:paraId="15933A80" w14:textId="228A2385" w:rsidR="00534707" w:rsidRDefault="00534707" w:rsidP="008A776A">
      <w:pPr>
        <w:pStyle w:val="Bullet"/>
      </w:pPr>
      <w:r>
        <w:t>Have your energy provider automatically apply the credit.</w:t>
      </w:r>
    </w:p>
    <w:p w14:paraId="4A0593F0" w14:textId="77777777" w:rsidR="008A776A" w:rsidRDefault="00534707" w:rsidP="008A776A">
      <w:pPr>
        <w:pStyle w:val="Bullet"/>
      </w:pPr>
      <w:r>
        <w:t>Complete an application form through your state-specific website.</w:t>
      </w:r>
    </w:p>
    <w:p w14:paraId="56279085" w14:textId="116230D2" w:rsidR="006F1019" w:rsidRDefault="008A776A" w:rsidP="008A776A">
      <w:pPr>
        <w:pStyle w:val="Bullet"/>
      </w:pPr>
      <w:r>
        <w:t>Apply for a one-off payment instead of electricity bill credits.</w:t>
      </w:r>
      <w:r w:rsidR="00F47B1C">
        <w:t xml:space="preserve"> </w:t>
      </w:r>
    </w:p>
    <w:p w14:paraId="24E2604B" w14:textId="012E1CDC" w:rsidR="008A776A" w:rsidRPr="008A776A" w:rsidRDefault="00057927" w:rsidP="008A77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What do I need to keep in mind</w:t>
      </w:r>
      <w:r w:rsidR="008A776A" w:rsidRPr="008A776A">
        <w:rPr>
          <w:b/>
          <w:bCs/>
          <w:sz w:val="28"/>
          <w:szCs w:val="28"/>
        </w:rPr>
        <w:t xml:space="preserve">? </w:t>
      </w:r>
    </w:p>
    <w:p w14:paraId="1B94E508" w14:textId="60C5335B" w:rsidR="008A776A" w:rsidRDefault="006C2A23" w:rsidP="00615B17">
      <w:r>
        <w:t xml:space="preserve">Each state and territory will have different methods, application dates and eligibility </w:t>
      </w:r>
      <w:r w:rsidR="009F20F9">
        <w:t xml:space="preserve">requirements for delivering </w:t>
      </w:r>
      <w:r w:rsidR="00615B17">
        <w:t>energy bill relief.</w:t>
      </w:r>
    </w:p>
    <w:p w14:paraId="027E4B8A" w14:textId="5748132F" w:rsidR="00615B17" w:rsidRDefault="00615B17" w:rsidP="00615B17">
      <w:r>
        <w:t xml:space="preserve">You can find </w:t>
      </w:r>
      <w:r w:rsidR="002114B2">
        <w:t>your state-specific information on your state/territory government energy website listed below</w:t>
      </w:r>
      <w:r w:rsidR="00B10DFE">
        <w:t>.</w:t>
      </w:r>
    </w:p>
    <w:p w14:paraId="243A6362" w14:textId="713E64EE" w:rsidR="00CF767C" w:rsidRPr="00BB028D" w:rsidRDefault="00CF767C" w:rsidP="00A227AA">
      <w:pPr>
        <w:rPr>
          <w:b/>
          <w:bCs/>
        </w:rPr>
      </w:pPr>
      <w:r w:rsidRPr="00BB028D">
        <w:rPr>
          <w:b/>
          <w:bCs/>
        </w:rPr>
        <w:t>Australian Capital Territory</w:t>
      </w:r>
    </w:p>
    <w:p w14:paraId="3861F8FA" w14:textId="103A7113" w:rsidR="006B4780" w:rsidRDefault="0083603B" w:rsidP="00A227AA">
      <w:hyperlink r:id="rId8" w:history="1">
        <w:r w:rsidR="00CF767C" w:rsidRPr="002178BF">
          <w:rPr>
            <w:rStyle w:val="Hyperlink"/>
          </w:rPr>
          <w:t>https://www.revenue.act.gov.au/community-assistance/energy-bill-relief-fund</w:t>
        </w:r>
      </w:hyperlink>
    </w:p>
    <w:p w14:paraId="4B480CD9" w14:textId="25DD583B" w:rsidR="00CF767C" w:rsidRPr="00BB028D" w:rsidRDefault="00CF767C" w:rsidP="00A227AA">
      <w:pPr>
        <w:rPr>
          <w:b/>
          <w:bCs/>
        </w:rPr>
      </w:pPr>
      <w:r w:rsidRPr="00BB028D">
        <w:rPr>
          <w:b/>
          <w:bCs/>
        </w:rPr>
        <w:t>New South Wales</w:t>
      </w:r>
    </w:p>
    <w:p w14:paraId="73A53AC4" w14:textId="4858E65D" w:rsidR="00CF767C" w:rsidRDefault="0083603B" w:rsidP="00A227AA">
      <w:hyperlink r:id="rId9" w:history="1">
        <w:r w:rsidR="00CF767C" w:rsidRPr="002178BF">
          <w:rPr>
            <w:rStyle w:val="Hyperlink"/>
          </w:rPr>
          <w:t>https://www.energy.nsw.gov.au/households/rebates-grants-and-schemes/national-energy-bill-relief</w:t>
        </w:r>
      </w:hyperlink>
    </w:p>
    <w:p w14:paraId="0104A262" w14:textId="430B1BD6" w:rsidR="00CF767C" w:rsidRPr="00BB028D" w:rsidRDefault="00CF767C" w:rsidP="00A227AA">
      <w:pPr>
        <w:rPr>
          <w:b/>
          <w:bCs/>
        </w:rPr>
      </w:pPr>
      <w:r w:rsidRPr="00BB028D">
        <w:rPr>
          <w:b/>
          <w:bCs/>
        </w:rPr>
        <w:t>Queensland</w:t>
      </w:r>
    </w:p>
    <w:p w14:paraId="23453D8D" w14:textId="3634DEDE" w:rsidR="00CF6982" w:rsidRDefault="0083603B" w:rsidP="00A227AA">
      <w:hyperlink r:id="rId10" w:history="1">
        <w:r w:rsidR="00CF6982" w:rsidRPr="002178BF">
          <w:rPr>
            <w:rStyle w:val="Hyperlink"/>
          </w:rPr>
          <w:t>https://www.qld.gov.au/community/cost-of-living-support/concessions/energy-concessions/cost-of-living-rebate</w:t>
        </w:r>
      </w:hyperlink>
    </w:p>
    <w:p w14:paraId="79BAB039" w14:textId="7AF1473D" w:rsidR="00CF6982" w:rsidRPr="00BB028D" w:rsidRDefault="00CF6982" w:rsidP="00A227AA">
      <w:pPr>
        <w:rPr>
          <w:b/>
          <w:bCs/>
        </w:rPr>
      </w:pPr>
      <w:r w:rsidRPr="00BB028D">
        <w:rPr>
          <w:b/>
          <w:bCs/>
        </w:rPr>
        <w:t>Northern Territory</w:t>
      </w:r>
    </w:p>
    <w:p w14:paraId="0499E8D7" w14:textId="39104A07" w:rsidR="00CF6982" w:rsidRDefault="0083603B" w:rsidP="00A227AA">
      <w:hyperlink r:id="rId11" w:history="1">
        <w:r w:rsidR="00EF29AC" w:rsidRPr="002178BF">
          <w:rPr>
            <w:rStyle w:val="Hyperlink"/>
          </w:rPr>
          <w:t>https://nt.gov.au/community/grants-and-volunteers/grants/energy-bill-relief-households</w:t>
        </w:r>
      </w:hyperlink>
    </w:p>
    <w:p w14:paraId="567C20BA" w14:textId="1CDC0C0D" w:rsidR="00EF29AC" w:rsidRPr="00BB028D" w:rsidRDefault="00EF29AC" w:rsidP="00A227AA">
      <w:pPr>
        <w:rPr>
          <w:b/>
          <w:bCs/>
        </w:rPr>
      </w:pPr>
      <w:r w:rsidRPr="00BB028D">
        <w:rPr>
          <w:b/>
          <w:bCs/>
        </w:rPr>
        <w:t>Victoria</w:t>
      </w:r>
    </w:p>
    <w:p w14:paraId="2FF0D614" w14:textId="053AC7D9" w:rsidR="00EF29AC" w:rsidRDefault="0083603B" w:rsidP="00A227AA">
      <w:hyperlink r:id="rId12" w:history="1">
        <w:r w:rsidR="004331F2" w:rsidRPr="002178BF">
          <w:rPr>
            <w:rStyle w:val="Hyperlink"/>
          </w:rPr>
          <w:t>https://www.energy.vic.gov.au/households/help-paying-your-energy-bills/energy-bill-relief-fund</w:t>
        </w:r>
      </w:hyperlink>
    </w:p>
    <w:p w14:paraId="7F0976AF" w14:textId="55C66095" w:rsidR="004331F2" w:rsidRPr="00BB028D" w:rsidRDefault="004331F2" w:rsidP="00A227AA">
      <w:pPr>
        <w:rPr>
          <w:b/>
          <w:bCs/>
        </w:rPr>
      </w:pPr>
      <w:r w:rsidRPr="00BB028D">
        <w:rPr>
          <w:b/>
          <w:bCs/>
        </w:rPr>
        <w:t>Tasmania</w:t>
      </w:r>
    </w:p>
    <w:p w14:paraId="1C8AFD4E" w14:textId="7DDD4512" w:rsidR="004331F2" w:rsidRDefault="0083603B" w:rsidP="00A227AA">
      <w:hyperlink r:id="rId13" w:history="1">
        <w:r w:rsidR="004331F2" w:rsidRPr="002178BF">
          <w:rPr>
            <w:rStyle w:val="Hyperlink"/>
          </w:rPr>
          <w:t>https://recfit.tas.gov.au/grants_programs/energy_bill_relief</w:t>
        </w:r>
      </w:hyperlink>
    </w:p>
    <w:p w14:paraId="6F005B45" w14:textId="23E6033D" w:rsidR="004331F2" w:rsidRPr="00BB028D" w:rsidRDefault="004331F2" w:rsidP="00A227AA">
      <w:pPr>
        <w:rPr>
          <w:b/>
          <w:bCs/>
        </w:rPr>
      </w:pPr>
      <w:r w:rsidRPr="00BB028D">
        <w:rPr>
          <w:b/>
          <w:bCs/>
        </w:rPr>
        <w:t>South Australia</w:t>
      </w:r>
    </w:p>
    <w:p w14:paraId="6F46186F" w14:textId="5A6DD7E1" w:rsidR="004331F2" w:rsidRDefault="0083603B" w:rsidP="00A227AA">
      <w:hyperlink r:id="rId14" w:history="1">
        <w:r w:rsidR="004331F2" w:rsidRPr="002178BF">
          <w:rPr>
            <w:rStyle w:val="Hyperlink"/>
          </w:rPr>
          <w:t>https://www.sa.gov.au/topics/care-and-support/concessions/household-concessions/energy-bill-relief</w:t>
        </w:r>
      </w:hyperlink>
    </w:p>
    <w:p w14:paraId="200BA23D" w14:textId="67BFCAEC" w:rsidR="004331F2" w:rsidRPr="00BB028D" w:rsidRDefault="004331F2" w:rsidP="00A227AA">
      <w:pPr>
        <w:rPr>
          <w:b/>
          <w:bCs/>
        </w:rPr>
      </w:pPr>
      <w:r w:rsidRPr="00BB028D">
        <w:rPr>
          <w:b/>
          <w:bCs/>
        </w:rPr>
        <w:t>Western Australia</w:t>
      </w:r>
    </w:p>
    <w:p w14:paraId="67E749CE" w14:textId="1CE0EED5" w:rsidR="004331F2" w:rsidRDefault="0083603B" w:rsidP="00A227AA">
      <w:hyperlink r:id="rId15" w:history="1">
        <w:r w:rsidR="00486215" w:rsidRPr="002178BF">
          <w:rPr>
            <w:rStyle w:val="Hyperlink"/>
          </w:rPr>
          <w:t>https://www.wa.gov.au/government/publications/household-electricity-credit</w:t>
        </w:r>
      </w:hyperlink>
    </w:p>
    <w:p w14:paraId="575B5BE8" w14:textId="77777777" w:rsidR="00DA538C" w:rsidRDefault="00DA538C" w:rsidP="00A227AA">
      <w:pPr>
        <w:rPr>
          <w:b/>
          <w:bCs/>
          <w:sz w:val="28"/>
          <w:szCs w:val="28"/>
        </w:rPr>
      </w:pPr>
    </w:p>
    <w:p w14:paraId="7C7D53E4" w14:textId="72FC627D" w:rsidR="00486215" w:rsidRDefault="00DA538C" w:rsidP="00A227AA">
      <w:r>
        <w:rPr>
          <w:b/>
          <w:bCs/>
          <w:sz w:val="28"/>
          <w:szCs w:val="28"/>
        </w:rPr>
        <w:t>Find out more</w:t>
      </w:r>
    </w:p>
    <w:p w14:paraId="410A00D7" w14:textId="241351AD" w:rsidR="00CF767C" w:rsidRPr="00304B72" w:rsidRDefault="00486215" w:rsidP="00A227AA">
      <w:r>
        <w:t xml:space="preserve">Learn more about energy bill relief at </w:t>
      </w:r>
      <w:hyperlink r:id="rId16" w:history="1">
        <w:r w:rsidR="008E6BB3" w:rsidRPr="008E6BB3">
          <w:rPr>
            <w:rStyle w:val="Hyperlink"/>
          </w:rPr>
          <w:t>supportingaustralians.gov.au</w:t>
        </w:r>
      </w:hyperlink>
    </w:p>
    <w:sectPr w:rsidR="00CF767C" w:rsidRPr="00304B72" w:rsidSect="002714B1">
      <w:footerReference w:type="default" r:id="rId17"/>
      <w:headerReference w:type="first" r:id="rId18"/>
      <w:footerReference w:type="first" r:id="rId19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A612" w14:textId="77777777" w:rsidR="00566EE7" w:rsidRDefault="00566EE7" w:rsidP="00C90054">
      <w:r>
        <w:separator/>
      </w:r>
    </w:p>
    <w:p w14:paraId="22FDD848" w14:textId="77777777" w:rsidR="00566EE7" w:rsidRDefault="00566EE7" w:rsidP="00C90054"/>
  </w:endnote>
  <w:endnote w:type="continuationSeparator" w:id="0">
    <w:p w14:paraId="7D0A0B18" w14:textId="77777777" w:rsidR="00566EE7" w:rsidRDefault="00566EE7" w:rsidP="00C90054">
      <w:r>
        <w:continuationSeparator/>
      </w:r>
    </w:p>
    <w:p w14:paraId="055881E5" w14:textId="77777777" w:rsidR="00566EE7" w:rsidRDefault="00566EE7" w:rsidP="00C90054"/>
  </w:endnote>
  <w:endnote w:type="continuationNotice" w:id="1">
    <w:p w14:paraId="40C65530" w14:textId="77777777" w:rsidR="00566EE7" w:rsidRDefault="00566EE7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4A7" w14:textId="4CC92E73" w:rsidR="00A15DB7" w:rsidRPr="00B96C49" w:rsidRDefault="002714B1" w:rsidP="00B96C49">
    <w:pPr>
      <w:pStyle w:val="Footer"/>
      <w:tabs>
        <w:tab w:val="right" w:pos="8504"/>
      </w:tabs>
      <w:rPr>
        <w:bCs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271EDEE" wp14:editId="57C1887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3" style="position:absolute;margin-left:0;margin-top:0;width:595.3pt;height:56.7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3655A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4A14FC" w:rsidRPr="004A14FC">
      <w:rPr>
        <w:rFonts w:asciiTheme="majorHAnsi" w:hAnsiTheme="majorHAnsi" w:cstheme="majorHAnsi"/>
        <w:b w:val="0"/>
        <w:bCs/>
        <w:kern w:val="32"/>
        <w:sz w:val="60"/>
        <w:szCs w:val="60"/>
      </w:rPr>
      <w:t xml:space="preserve"> </w:t>
    </w:r>
    <w:r w:rsidR="00B21903">
      <w:rPr>
        <w:bCs/>
        <w:noProof/>
      </w:rPr>
      <w:t>Energy bill relief in embedded networks</w:t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DAC" w14:textId="35F7EBC8" w:rsidR="00300C95" w:rsidRPr="00E81A92" w:rsidRDefault="002714B1" w:rsidP="00100F1D">
    <w:pPr>
      <w:pStyle w:val="Footer"/>
      <w:tabs>
        <w:tab w:val="clear" w:pos="4320"/>
        <w:tab w:val="clear" w:pos="8640"/>
        <w:tab w:val="center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D715DBB" wp14:editId="0125D4FC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 xmlns:w16du="http://schemas.microsoft.com/office/word/2023/wordml/word16du">
          <w:pict>
            <v:rect id="Rectangle 3" style="position:absolute;margin-left:0;margin-top:0;width:595.3pt;height:56.7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54AB9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 w:rsidR="00B21903">
      <w:rPr>
        <w:bCs/>
        <w:noProof/>
      </w:rPr>
      <w:t>Energy bill relief in embedded networ</w:t>
    </w:r>
    <w:r w:rsidR="0059624D">
      <w:rPr>
        <w:bCs/>
        <w:noProof/>
      </w:rPr>
      <w:t>ks</w:t>
    </w:r>
    <w:r w:rsidR="00100F1D">
      <w:rPr>
        <w:bCs/>
        <w:noProof/>
      </w:rPr>
      <w:t xml:space="preserve">           </w:t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  <w:r w:rsidR="00100F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9F3B" w14:textId="77777777" w:rsidR="00566EE7" w:rsidRDefault="00566EE7" w:rsidP="00C90054">
      <w:r>
        <w:separator/>
      </w:r>
    </w:p>
    <w:p w14:paraId="6C23716C" w14:textId="77777777" w:rsidR="00566EE7" w:rsidRDefault="00566EE7" w:rsidP="00C90054"/>
  </w:footnote>
  <w:footnote w:type="continuationSeparator" w:id="0">
    <w:p w14:paraId="2A48CDFE" w14:textId="77777777" w:rsidR="00566EE7" w:rsidRDefault="00566EE7" w:rsidP="00C90054">
      <w:r>
        <w:continuationSeparator/>
      </w:r>
    </w:p>
    <w:p w14:paraId="46134943" w14:textId="77777777" w:rsidR="00566EE7" w:rsidRDefault="00566EE7" w:rsidP="00C90054"/>
  </w:footnote>
  <w:footnote w:type="continuationNotice" w:id="1">
    <w:p w14:paraId="11F8135E" w14:textId="77777777" w:rsidR="00566EE7" w:rsidRDefault="00566EE7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9E" w14:textId="77777777" w:rsidR="00C07CF7" w:rsidRDefault="00C07CF7" w:rsidP="00C90054">
    <w:pPr>
      <w:pStyle w:val="Header"/>
    </w:pPr>
  </w:p>
  <w:p w14:paraId="1E92E95B" w14:textId="32A27DF3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9D4899" wp14:editId="4AF6E9BA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4EF85750"/>
    <w:multiLevelType w:val="multilevel"/>
    <w:tmpl w:val="F9AA757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272CB"/>
    <w:multiLevelType w:val="multilevel"/>
    <w:tmpl w:val="73923A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8"/>
  </w:num>
  <w:num w:numId="3" w16cid:durableId="417137642">
    <w:abstractNumId w:val="6"/>
  </w:num>
  <w:num w:numId="4" w16cid:durableId="128940362">
    <w:abstractNumId w:val="7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10"/>
  </w:num>
  <w:num w:numId="8" w16cid:durableId="21563880">
    <w:abstractNumId w:val="1"/>
  </w:num>
  <w:num w:numId="9" w16cid:durableId="431778528">
    <w:abstractNumId w:val="4"/>
  </w:num>
  <w:num w:numId="10" w16cid:durableId="178007785">
    <w:abstractNumId w:val="9"/>
  </w:num>
  <w:num w:numId="11" w16cid:durableId="348069441">
    <w:abstractNumId w:val="5"/>
  </w:num>
  <w:num w:numId="12" w16cid:durableId="64693265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D506B"/>
    <w:rsid w:val="00016670"/>
    <w:rsid w:val="00016B6C"/>
    <w:rsid w:val="00017AF7"/>
    <w:rsid w:val="0002151A"/>
    <w:rsid w:val="0003021B"/>
    <w:rsid w:val="00033942"/>
    <w:rsid w:val="000421F9"/>
    <w:rsid w:val="00045C24"/>
    <w:rsid w:val="0004678C"/>
    <w:rsid w:val="00057927"/>
    <w:rsid w:val="00060C76"/>
    <w:rsid w:val="00067E65"/>
    <w:rsid w:val="000753CE"/>
    <w:rsid w:val="00091752"/>
    <w:rsid w:val="000A4D2D"/>
    <w:rsid w:val="000B1EC3"/>
    <w:rsid w:val="000B3C90"/>
    <w:rsid w:val="000C02C9"/>
    <w:rsid w:val="000C51E2"/>
    <w:rsid w:val="000D33F2"/>
    <w:rsid w:val="000D7D2F"/>
    <w:rsid w:val="000E324C"/>
    <w:rsid w:val="000F2493"/>
    <w:rsid w:val="000F2562"/>
    <w:rsid w:val="000F33C9"/>
    <w:rsid w:val="00100F1D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47643"/>
    <w:rsid w:val="00150937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D506B"/>
    <w:rsid w:val="001E5623"/>
    <w:rsid w:val="001E6DC2"/>
    <w:rsid w:val="001E7840"/>
    <w:rsid w:val="001E7CF5"/>
    <w:rsid w:val="001F50DA"/>
    <w:rsid w:val="00203245"/>
    <w:rsid w:val="00205F44"/>
    <w:rsid w:val="002105F8"/>
    <w:rsid w:val="002114B2"/>
    <w:rsid w:val="00215EE7"/>
    <w:rsid w:val="00223D87"/>
    <w:rsid w:val="002268AB"/>
    <w:rsid w:val="00226F00"/>
    <w:rsid w:val="0022749C"/>
    <w:rsid w:val="00227C77"/>
    <w:rsid w:val="00233887"/>
    <w:rsid w:val="00233A88"/>
    <w:rsid w:val="00234F12"/>
    <w:rsid w:val="00241B9A"/>
    <w:rsid w:val="0024226F"/>
    <w:rsid w:val="00245342"/>
    <w:rsid w:val="002462BD"/>
    <w:rsid w:val="00260712"/>
    <w:rsid w:val="00263339"/>
    <w:rsid w:val="00266A7A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4B72"/>
    <w:rsid w:val="003054A8"/>
    <w:rsid w:val="00306770"/>
    <w:rsid w:val="003072B6"/>
    <w:rsid w:val="00307DA3"/>
    <w:rsid w:val="0031609F"/>
    <w:rsid w:val="00327D31"/>
    <w:rsid w:val="003305CA"/>
    <w:rsid w:val="00333E2F"/>
    <w:rsid w:val="0034064A"/>
    <w:rsid w:val="0034564D"/>
    <w:rsid w:val="00350D12"/>
    <w:rsid w:val="00353390"/>
    <w:rsid w:val="00357842"/>
    <w:rsid w:val="00372AC1"/>
    <w:rsid w:val="003802F4"/>
    <w:rsid w:val="003831AB"/>
    <w:rsid w:val="00390C06"/>
    <w:rsid w:val="0039674B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31F2"/>
    <w:rsid w:val="00442C7E"/>
    <w:rsid w:val="00450CCE"/>
    <w:rsid w:val="004542B7"/>
    <w:rsid w:val="004546DC"/>
    <w:rsid w:val="00461404"/>
    <w:rsid w:val="00463D4E"/>
    <w:rsid w:val="00470BA0"/>
    <w:rsid w:val="0047507F"/>
    <w:rsid w:val="00477439"/>
    <w:rsid w:val="00485A3D"/>
    <w:rsid w:val="00486215"/>
    <w:rsid w:val="00486B7C"/>
    <w:rsid w:val="00490C62"/>
    <w:rsid w:val="00496135"/>
    <w:rsid w:val="0049673E"/>
    <w:rsid w:val="00496C34"/>
    <w:rsid w:val="004A14FC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4707"/>
    <w:rsid w:val="00535C81"/>
    <w:rsid w:val="00546D8E"/>
    <w:rsid w:val="00546FDD"/>
    <w:rsid w:val="00551340"/>
    <w:rsid w:val="0055365C"/>
    <w:rsid w:val="005606FD"/>
    <w:rsid w:val="00565A52"/>
    <w:rsid w:val="00566AD8"/>
    <w:rsid w:val="00566EE7"/>
    <w:rsid w:val="00570B86"/>
    <w:rsid w:val="005732EB"/>
    <w:rsid w:val="005803BF"/>
    <w:rsid w:val="00582FAD"/>
    <w:rsid w:val="00585F7E"/>
    <w:rsid w:val="00592096"/>
    <w:rsid w:val="00594ABF"/>
    <w:rsid w:val="0059624D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11AC"/>
    <w:rsid w:val="00614971"/>
    <w:rsid w:val="00615B17"/>
    <w:rsid w:val="00627218"/>
    <w:rsid w:val="00632587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C2A23"/>
    <w:rsid w:val="006D19B3"/>
    <w:rsid w:val="006D27A6"/>
    <w:rsid w:val="006D3EE7"/>
    <w:rsid w:val="006D6960"/>
    <w:rsid w:val="006E0267"/>
    <w:rsid w:val="006E101D"/>
    <w:rsid w:val="006E6F8C"/>
    <w:rsid w:val="006E76BE"/>
    <w:rsid w:val="006F0918"/>
    <w:rsid w:val="006F1019"/>
    <w:rsid w:val="006F56A2"/>
    <w:rsid w:val="006F66A9"/>
    <w:rsid w:val="006F6E04"/>
    <w:rsid w:val="00704ADC"/>
    <w:rsid w:val="00705884"/>
    <w:rsid w:val="00705AD6"/>
    <w:rsid w:val="007132CF"/>
    <w:rsid w:val="00714EA1"/>
    <w:rsid w:val="00717216"/>
    <w:rsid w:val="00722F56"/>
    <w:rsid w:val="007343B8"/>
    <w:rsid w:val="00736715"/>
    <w:rsid w:val="0074654A"/>
    <w:rsid w:val="007600FA"/>
    <w:rsid w:val="0076093D"/>
    <w:rsid w:val="00761DA0"/>
    <w:rsid w:val="007622D7"/>
    <w:rsid w:val="00770E22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4129"/>
    <w:rsid w:val="0082573A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1B0D"/>
    <w:rsid w:val="008972E4"/>
    <w:rsid w:val="008A02F3"/>
    <w:rsid w:val="008A1C1D"/>
    <w:rsid w:val="008A48CA"/>
    <w:rsid w:val="008A776A"/>
    <w:rsid w:val="008B2938"/>
    <w:rsid w:val="008B395C"/>
    <w:rsid w:val="008C5773"/>
    <w:rsid w:val="008C7ECB"/>
    <w:rsid w:val="008D0CA6"/>
    <w:rsid w:val="008D3304"/>
    <w:rsid w:val="008D4CD0"/>
    <w:rsid w:val="008D5358"/>
    <w:rsid w:val="008E0180"/>
    <w:rsid w:val="008E04BD"/>
    <w:rsid w:val="008E35A5"/>
    <w:rsid w:val="008E511F"/>
    <w:rsid w:val="008E6BB3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59A6"/>
    <w:rsid w:val="009C66A3"/>
    <w:rsid w:val="009C72D4"/>
    <w:rsid w:val="009D616A"/>
    <w:rsid w:val="009E6061"/>
    <w:rsid w:val="009F082B"/>
    <w:rsid w:val="009F20F9"/>
    <w:rsid w:val="00A01086"/>
    <w:rsid w:val="00A05E57"/>
    <w:rsid w:val="00A1120D"/>
    <w:rsid w:val="00A13CB3"/>
    <w:rsid w:val="00A13F0D"/>
    <w:rsid w:val="00A15DB7"/>
    <w:rsid w:val="00A17503"/>
    <w:rsid w:val="00A215B3"/>
    <w:rsid w:val="00A227AA"/>
    <w:rsid w:val="00A24D20"/>
    <w:rsid w:val="00A32C4E"/>
    <w:rsid w:val="00A3452B"/>
    <w:rsid w:val="00A36E34"/>
    <w:rsid w:val="00A46A9A"/>
    <w:rsid w:val="00A50111"/>
    <w:rsid w:val="00A52C22"/>
    <w:rsid w:val="00A60022"/>
    <w:rsid w:val="00A6380B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AE6206"/>
    <w:rsid w:val="00B10DFE"/>
    <w:rsid w:val="00B129C3"/>
    <w:rsid w:val="00B15B56"/>
    <w:rsid w:val="00B17CCF"/>
    <w:rsid w:val="00B20ACC"/>
    <w:rsid w:val="00B21903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5585"/>
    <w:rsid w:val="00B771FF"/>
    <w:rsid w:val="00B82C45"/>
    <w:rsid w:val="00B84B5B"/>
    <w:rsid w:val="00B92D7C"/>
    <w:rsid w:val="00B950BB"/>
    <w:rsid w:val="00B96C49"/>
    <w:rsid w:val="00B97FDF"/>
    <w:rsid w:val="00BA054F"/>
    <w:rsid w:val="00BA123B"/>
    <w:rsid w:val="00BA3721"/>
    <w:rsid w:val="00BA7802"/>
    <w:rsid w:val="00BB028D"/>
    <w:rsid w:val="00BB059B"/>
    <w:rsid w:val="00BB4B21"/>
    <w:rsid w:val="00BD2126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97F45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CF6982"/>
    <w:rsid w:val="00CF767C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62CCB"/>
    <w:rsid w:val="00D81F86"/>
    <w:rsid w:val="00DA538C"/>
    <w:rsid w:val="00DB1F42"/>
    <w:rsid w:val="00DB30EE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111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05B"/>
    <w:rsid w:val="00E4520C"/>
    <w:rsid w:val="00E62B01"/>
    <w:rsid w:val="00E64AD2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EF29AC"/>
    <w:rsid w:val="00F0196A"/>
    <w:rsid w:val="00F03CA2"/>
    <w:rsid w:val="00F07B2D"/>
    <w:rsid w:val="00F102D7"/>
    <w:rsid w:val="00F172EE"/>
    <w:rsid w:val="00F22FC2"/>
    <w:rsid w:val="00F22FE7"/>
    <w:rsid w:val="00F248B6"/>
    <w:rsid w:val="00F31637"/>
    <w:rsid w:val="00F33B9F"/>
    <w:rsid w:val="00F41932"/>
    <w:rsid w:val="00F43140"/>
    <w:rsid w:val="00F44C22"/>
    <w:rsid w:val="00F4789A"/>
    <w:rsid w:val="00F47B1C"/>
    <w:rsid w:val="00F51C00"/>
    <w:rsid w:val="00F51FDE"/>
    <w:rsid w:val="00F61364"/>
    <w:rsid w:val="00F614C4"/>
    <w:rsid w:val="00F61E2F"/>
    <w:rsid w:val="00F6245F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E7F3A"/>
    <w:rsid w:val="00FF4459"/>
    <w:rsid w:val="46EC7DCE"/>
    <w:rsid w:val="7598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7465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act.gov.au/community-assistance/energy-bill-relief-fund" TargetMode="External"/><Relationship Id="rId13" Type="http://schemas.openxmlformats.org/officeDocument/2006/relationships/hyperlink" Target="https://recfit.tas.gov.au/grants_programs/energy_bill_relie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nergy.vic.gov.au/households/help-paying-your-energy-bills/energy-bill-relief-fun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upportingaustralians.gov.au/energy-bill?utm_source=embedded-network-factsheet&amp;utm_medium=print&amp;utm_id=supportingaustralia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.gov.au/community/grants-and-volunteers/grants/energy-bill-relief-househol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.gov.au/government/publications/household-electricity-credit" TargetMode="External"/><Relationship Id="rId10" Type="http://schemas.openxmlformats.org/officeDocument/2006/relationships/hyperlink" Target="https://www.qld.gov.au/community/cost-of-living-support/concessions/energy-concessions/cost-of-living-rebat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nergy.nsw.gov.au/households/rebates-grants-and-schemes/national-energy-bill-relief" TargetMode="External"/><Relationship Id="rId14" Type="http://schemas.openxmlformats.org/officeDocument/2006/relationships/hyperlink" Target="https://www.sa.gov.au/topics/care-and-support/concessions/household-concessions/energy-bill-relie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Australians - Embeded network inforgraphic</dc:title>
  <dc:subject/>
  <dc:creator/>
  <cp:keywords/>
  <dc:description/>
  <cp:lastModifiedBy/>
  <cp:revision>1</cp:revision>
  <dcterms:created xsi:type="dcterms:W3CDTF">2024-11-26T05:11:00Z</dcterms:created>
  <dcterms:modified xsi:type="dcterms:W3CDTF">2024-11-26T05:12:00Z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2024-11-26T05:12:26Z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160f5ab6-c1b2-4b66-b248-06249ac9a905</vt:lpwstr>
  </property>
  <property fmtid="{D5CDD505-2E9C-101B-9397-08002B2CF9AE}" pid="8" name="MSIP_Label_91eac348-12d5-45ad-abaa-2c34f170cf6b_ContentBits">
    <vt:lpwstr>0</vt:lpwstr>
  </property>
</Properties>
</file>